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66" w:rsidRDefault="00BD35C0" w:rsidP="00196E66">
      <w:pPr>
        <w:ind w:left="-567" w:right="-472"/>
        <w:rPr>
          <w:rFonts w:ascii="Calibri" w:hAnsi="Calibri"/>
        </w:rPr>
      </w:pPr>
      <w:r>
        <w:rPr>
          <w:rFonts w:ascii="Calibri" w:hAnsi="Calibri"/>
          <w:noProof/>
          <w:bdr w:val="none" w:sz="0" w:space="0" w:color="auto"/>
          <w:lang w:val="en-GB" w:eastAsia="en-GB"/>
        </w:rPr>
        <mc:AlternateContent>
          <mc:Choice Requires="wps">
            <w:drawing>
              <wp:anchor distT="0" distB="0" distL="114300" distR="114300" simplePos="0" relativeHeight="251659264" behindDoc="0" locked="0" layoutInCell="1" allowOverlap="1">
                <wp:simplePos x="0" y="0"/>
                <wp:positionH relativeFrom="column">
                  <wp:posOffset>2781300</wp:posOffset>
                </wp:positionH>
                <wp:positionV relativeFrom="paragraph">
                  <wp:posOffset>-59690</wp:posOffset>
                </wp:positionV>
                <wp:extent cx="3467100" cy="2066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467100" cy="206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5C0" w:rsidRPr="00BD35C0" w:rsidRDefault="00BD35C0" w:rsidP="00121AD0">
                            <w:pPr>
                              <w:spacing w:line="520" w:lineRule="exact"/>
                              <w:rPr>
                                <w:rFonts w:ascii="Calibri" w:hAnsi="Calibri"/>
                                <w:b/>
                                <w:color w:val="538135" w:themeColor="accent6" w:themeShade="BF"/>
                                <w:sz w:val="48"/>
                              </w:rPr>
                            </w:pPr>
                            <w:r w:rsidRPr="00BD35C0">
                              <w:rPr>
                                <w:rFonts w:ascii="Calibri" w:hAnsi="Calibri"/>
                                <w:b/>
                                <w:color w:val="538135" w:themeColor="accent6" w:themeShade="BF"/>
                                <w:sz w:val="48"/>
                              </w:rPr>
                              <w:t>What next for embodied emissions policy in</w:t>
                            </w:r>
                            <w:r w:rsidR="00121AD0">
                              <w:rPr>
                                <w:rFonts w:ascii="Calibri" w:hAnsi="Calibri"/>
                                <w:b/>
                                <w:color w:val="538135" w:themeColor="accent6" w:themeShade="BF"/>
                                <w:sz w:val="48"/>
                              </w:rPr>
                              <w:t xml:space="preserve"> the </w:t>
                            </w:r>
                            <w:r w:rsidRPr="00BD35C0">
                              <w:rPr>
                                <w:rFonts w:ascii="Calibri" w:hAnsi="Calibri"/>
                                <w:b/>
                                <w:color w:val="538135" w:themeColor="accent6" w:themeShade="BF"/>
                                <w:sz w:val="48"/>
                              </w:rPr>
                              <w:t>construction</w:t>
                            </w:r>
                            <w:r w:rsidR="00121AD0">
                              <w:rPr>
                                <w:rFonts w:ascii="Calibri" w:hAnsi="Calibri"/>
                                <w:b/>
                                <w:color w:val="538135" w:themeColor="accent6" w:themeShade="BF"/>
                                <w:sz w:val="48"/>
                              </w:rPr>
                              <w:t xml:space="preserve"> sector</w:t>
                            </w:r>
                            <w:r w:rsidRPr="00BD35C0">
                              <w:rPr>
                                <w:rFonts w:ascii="Calibri" w:hAnsi="Calibri"/>
                                <w:b/>
                                <w:color w:val="538135" w:themeColor="accent6" w:themeShade="BF"/>
                                <w:sz w:val="48"/>
                              </w:rPr>
                              <w:t>?</w:t>
                            </w:r>
                          </w:p>
                          <w:p w:rsidR="00BD35C0" w:rsidRPr="00121AD0" w:rsidRDefault="00BD35C0" w:rsidP="00121AD0">
                            <w:pPr>
                              <w:spacing w:after="120" w:line="520" w:lineRule="exact"/>
                              <w:jc w:val="right"/>
                              <w:rPr>
                                <w:rFonts w:ascii="Calibri" w:hAnsi="Calibri"/>
                                <w:b/>
                              </w:rPr>
                            </w:pPr>
                            <w:r w:rsidRPr="00121AD0">
                              <w:rPr>
                                <w:rFonts w:ascii="Calibri" w:hAnsi="Calibri"/>
                                <w:b/>
                              </w:rPr>
                              <w:t>11</w:t>
                            </w:r>
                            <w:r w:rsidRPr="00121AD0">
                              <w:rPr>
                                <w:rFonts w:ascii="Calibri" w:hAnsi="Calibri"/>
                                <w:b/>
                                <w:vertAlign w:val="superscript"/>
                              </w:rPr>
                              <w:t>th</w:t>
                            </w:r>
                            <w:r w:rsidRPr="00121AD0">
                              <w:rPr>
                                <w:rFonts w:ascii="Calibri" w:hAnsi="Calibri"/>
                                <w:b/>
                              </w:rPr>
                              <w:t xml:space="preserve"> September 2015</w:t>
                            </w:r>
                          </w:p>
                          <w:p w:rsidR="00BD35C0" w:rsidRPr="00121AD0" w:rsidRDefault="00BD35C0" w:rsidP="00BD35C0">
                            <w:pPr>
                              <w:spacing w:after="120"/>
                              <w:jc w:val="right"/>
                              <w:rPr>
                                <w:rFonts w:ascii="Calibri" w:hAnsi="Calibri"/>
                                <w:b/>
                              </w:rPr>
                            </w:pPr>
                            <w:r w:rsidRPr="00121AD0">
                              <w:rPr>
                                <w:rFonts w:ascii="Calibri" w:hAnsi="Calibri"/>
                                <w:b/>
                              </w:rPr>
                              <w:t>Royal Academy of Engineering</w:t>
                            </w:r>
                          </w:p>
                          <w:p w:rsidR="00BD35C0" w:rsidRPr="00121AD0" w:rsidRDefault="00BD35C0" w:rsidP="00BD35C0">
                            <w:pPr>
                              <w:spacing w:after="120"/>
                              <w:jc w:val="right"/>
                              <w:rPr>
                                <w:rFonts w:ascii="Calibri" w:hAnsi="Calibri"/>
                                <w:b/>
                              </w:rPr>
                            </w:pPr>
                            <w:r w:rsidRPr="00121AD0">
                              <w:rPr>
                                <w:rFonts w:ascii="Calibri" w:hAnsi="Calibri"/>
                                <w:b/>
                              </w:rPr>
                              <w:t>Carlton Terrace,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219pt;margin-top:-4.7pt;width:273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" fillcolor="white [3201]" stroked="f" strokeweight=".5pt">
                <v:textbox>
                  <w:txbxContent>
                    <w:p w:rsidR="00BD35C0" w:rsidRPr="00BD35C0" w:rsidRDefault="00BD35C0" w:rsidP="00121AD0">
                      <w:pPr>
                        <w:spacing w:line="520" w:lineRule="exact"/>
                        <w:rPr>
                          <w:rFonts w:ascii="Calibri" w:hAnsi="Calibri"/>
                          <w:b/>
                          <w:color w:val="538135" w:themeColor="accent6" w:themeShade="BF"/>
                          <w:sz w:val="48"/>
                        </w:rPr>
                      </w:pPr>
                      <w:r w:rsidRPr="00BD35C0">
                        <w:rPr>
                          <w:rFonts w:ascii="Calibri" w:hAnsi="Calibri"/>
                          <w:b/>
                          <w:color w:val="538135" w:themeColor="accent6" w:themeShade="BF"/>
                          <w:sz w:val="48"/>
                        </w:rPr>
                        <w:t>What next for embodied emissions policy in</w:t>
                      </w:r>
                      <w:r w:rsidR="00121AD0">
                        <w:rPr>
                          <w:rFonts w:ascii="Calibri" w:hAnsi="Calibri"/>
                          <w:b/>
                          <w:color w:val="538135" w:themeColor="accent6" w:themeShade="BF"/>
                          <w:sz w:val="48"/>
                        </w:rPr>
                        <w:t xml:space="preserve"> the </w:t>
                      </w:r>
                      <w:r w:rsidRPr="00BD35C0">
                        <w:rPr>
                          <w:rFonts w:ascii="Calibri" w:hAnsi="Calibri"/>
                          <w:b/>
                          <w:color w:val="538135" w:themeColor="accent6" w:themeShade="BF"/>
                          <w:sz w:val="48"/>
                        </w:rPr>
                        <w:t>construction</w:t>
                      </w:r>
                      <w:r w:rsidR="00121AD0">
                        <w:rPr>
                          <w:rFonts w:ascii="Calibri" w:hAnsi="Calibri"/>
                          <w:b/>
                          <w:color w:val="538135" w:themeColor="accent6" w:themeShade="BF"/>
                          <w:sz w:val="48"/>
                        </w:rPr>
                        <w:t xml:space="preserve"> sector</w:t>
                      </w:r>
                      <w:r w:rsidRPr="00BD35C0">
                        <w:rPr>
                          <w:rFonts w:ascii="Calibri" w:hAnsi="Calibri"/>
                          <w:b/>
                          <w:color w:val="538135" w:themeColor="accent6" w:themeShade="BF"/>
                          <w:sz w:val="48"/>
                        </w:rPr>
                        <w:t>?</w:t>
                      </w:r>
                    </w:p>
                    <w:p w:rsidR="00BD35C0" w:rsidRPr="00121AD0" w:rsidRDefault="00BD35C0" w:rsidP="00121AD0">
                      <w:pPr>
                        <w:spacing w:after="120" w:line="520" w:lineRule="exact"/>
                        <w:jc w:val="right"/>
                        <w:rPr>
                          <w:rFonts w:ascii="Calibri" w:hAnsi="Calibri"/>
                          <w:b/>
                        </w:rPr>
                      </w:pPr>
                      <w:r w:rsidRPr="00121AD0">
                        <w:rPr>
                          <w:rFonts w:ascii="Calibri" w:hAnsi="Calibri"/>
                          <w:b/>
                        </w:rPr>
                        <w:t>11</w:t>
                      </w:r>
                      <w:r w:rsidRPr="00121AD0">
                        <w:rPr>
                          <w:rFonts w:ascii="Calibri" w:hAnsi="Calibri"/>
                          <w:b/>
                          <w:vertAlign w:val="superscript"/>
                        </w:rPr>
                        <w:t>th</w:t>
                      </w:r>
                      <w:r w:rsidRPr="00121AD0">
                        <w:rPr>
                          <w:rFonts w:ascii="Calibri" w:hAnsi="Calibri"/>
                          <w:b/>
                        </w:rPr>
                        <w:t xml:space="preserve"> September 2015</w:t>
                      </w:r>
                    </w:p>
                    <w:p w:rsidR="00BD35C0" w:rsidRPr="00121AD0" w:rsidRDefault="00BD35C0" w:rsidP="00BD35C0">
                      <w:pPr>
                        <w:spacing w:after="120"/>
                        <w:jc w:val="right"/>
                        <w:rPr>
                          <w:rFonts w:ascii="Calibri" w:hAnsi="Calibri"/>
                          <w:b/>
                        </w:rPr>
                      </w:pPr>
                      <w:r w:rsidRPr="00121AD0">
                        <w:rPr>
                          <w:rFonts w:ascii="Calibri" w:hAnsi="Calibri"/>
                          <w:b/>
                        </w:rPr>
                        <w:t>Royal Academy of Engineering</w:t>
                      </w:r>
                    </w:p>
                    <w:p w:rsidR="00BD35C0" w:rsidRPr="00121AD0" w:rsidRDefault="00BD35C0" w:rsidP="00BD35C0">
                      <w:pPr>
                        <w:spacing w:after="120"/>
                        <w:jc w:val="right"/>
                        <w:rPr>
                          <w:rFonts w:ascii="Calibri" w:hAnsi="Calibri"/>
                          <w:b/>
                        </w:rPr>
                      </w:pPr>
                      <w:r w:rsidRPr="00121AD0">
                        <w:rPr>
                          <w:rFonts w:ascii="Calibri" w:hAnsi="Calibri"/>
                          <w:b/>
                        </w:rPr>
                        <w:t>Carlton Terrace, London</w:t>
                      </w:r>
                    </w:p>
                  </w:txbxContent>
                </v:textbox>
              </v:shape>
            </w:pict>
          </mc:Fallback>
        </mc:AlternateContent>
      </w:r>
      <w:r w:rsidR="00196E66" w:rsidRPr="00196E66">
        <w:rPr>
          <w:rFonts w:ascii="Calibri" w:hAnsi="Calibri"/>
          <w:noProof/>
          <w:lang w:val="en-GB" w:eastAsia="en-GB"/>
        </w:rPr>
        <w:drawing>
          <wp:inline distT="0" distB="0" distL="0" distR="0" wp14:anchorId="25FB42EB" wp14:editId="3342FC73">
            <wp:extent cx="3095625" cy="1285214"/>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5">
                      <a:extLst>
                        <a:ext uri="{28A0092B-C50C-407E-A947-70E740481C1C}">
                          <a14:useLocalDpi xmlns:a14="http://schemas.microsoft.com/office/drawing/2010/main" val="0"/>
                        </a:ext>
                      </a:extLst>
                    </a:blip>
                    <a:srcRect l="10019" t="26150" r="9190" b="26463"/>
                    <a:stretch/>
                  </pic:blipFill>
                  <pic:spPr bwMode="auto">
                    <a:xfrm>
                      <a:off x="0" y="0"/>
                      <a:ext cx="3106703" cy="1289813"/>
                    </a:xfrm>
                    <a:prstGeom prst="rect">
                      <a:avLst/>
                    </a:prstGeom>
                    <a:ln>
                      <a:noFill/>
                    </a:ln>
                    <a:extLst>
                      <a:ext uri="{53640926-AAD7-44D8-BBD7-CCE9431645EC}">
                        <a14:shadowObscured xmlns:a14="http://schemas.microsoft.com/office/drawing/2010/main"/>
                      </a:ext>
                    </a:extLst>
                  </pic:spPr>
                </pic:pic>
              </a:graphicData>
            </a:graphic>
          </wp:inline>
        </w:drawing>
      </w:r>
    </w:p>
    <w:p w:rsidR="00196E66" w:rsidRDefault="00196E66" w:rsidP="00196E66">
      <w:pPr>
        <w:ind w:left="-567" w:right="-472"/>
        <w:rPr>
          <w:rFonts w:ascii="Calibri" w:hAnsi="Calibri"/>
        </w:rPr>
      </w:pPr>
    </w:p>
    <w:p w:rsidR="00BD35C0" w:rsidRDefault="00BD35C0" w:rsidP="00196E66">
      <w:pPr>
        <w:spacing w:after="120"/>
        <w:ind w:left="-567" w:right="-472"/>
        <w:rPr>
          <w:rFonts w:ascii="Calibri" w:hAnsi="Calibri"/>
        </w:rPr>
      </w:pPr>
    </w:p>
    <w:p w:rsidR="00BD35C0" w:rsidRDefault="00BD35C0" w:rsidP="00196E66">
      <w:pPr>
        <w:spacing w:after="120"/>
        <w:ind w:left="-567" w:right="-472"/>
        <w:rPr>
          <w:rFonts w:ascii="Calibri" w:hAnsi="Calibri"/>
        </w:rPr>
      </w:pPr>
    </w:p>
    <w:p w:rsidR="00196E66" w:rsidRPr="00196E66" w:rsidRDefault="00196E66" w:rsidP="00121AD0">
      <w:pPr>
        <w:spacing w:after="240"/>
        <w:ind w:left="-567" w:right="-471"/>
        <w:rPr>
          <w:rFonts w:ascii="Calibri" w:eastAsiaTheme="minorHAnsi" w:hAnsi="Calibri"/>
          <w:sz w:val="22"/>
          <w:szCs w:val="22"/>
          <w:bdr w:val="none" w:sz="0" w:space="0" w:color="auto"/>
          <w:lang w:val="en-GB"/>
        </w:rPr>
      </w:pPr>
      <w:r w:rsidRPr="00196E66">
        <w:rPr>
          <w:rFonts w:ascii="Calibri" w:hAnsi="Calibri"/>
        </w:rPr>
        <w:t xml:space="preserve">The recent cancellation of the zero carbon homes policy closes off one of the most promising avenues for tackling embodied emissions in UK construction. A great deal of work has been done to progress </w:t>
      </w:r>
      <w:proofErr w:type="spellStart"/>
      <w:r w:rsidRPr="00196E66">
        <w:rPr>
          <w:rFonts w:ascii="Calibri" w:hAnsi="Calibri"/>
        </w:rPr>
        <w:t>standardisation</w:t>
      </w:r>
      <w:proofErr w:type="spellEnd"/>
      <w:r w:rsidRPr="00196E66">
        <w:rPr>
          <w:rFonts w:ascii="Calibri" w:hAnsi="Calibri"/>
        </w:rPr>
        <w:t xml:space="preserve"> of approaches to measurement and to articulate the actions required to reduce embodied emissions. Without policy and regulation to create a more supportive environment, implementation of these actions could be insufficient to meet sector targets. </w:t>
      </w:r>
    </w:p>
    <w:tbl>
      <w:tblPr>
        <w:tblpPr w:leftFromText="180" w:rightFromText="180" w:vertAnchor="page" w:horzAnchor="margin" w:tblpXSpec="center" w:tblpY="7621"/>
        <w:tblW w:w="10183" w:type="dxa"/>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tblLayout w:type="fixed"/>
        <w:tblLook w:val="04A0" w:firstRow="1" w:lastRow="0" w:firstColumn="1" w:lastColumn="0" w:noHBand="0" w:noVBand="1"/>
      </w:tblPr>
      <w:tblGrid>
        <w:gridCol w:w="1820"/>
        <w:gridCol w:w="8363"/>
      </w:tblGrid>
      <w:tr w:rsidR="00277CB3" w:rsidRPr="00954B8C" w:rsidTr="00277CB3">
        <w:trPr>
          <w:trHeight w:val="250"/>
        </w:trPr>
        <w:tc>
          <w:tcPr>
            <w:tcW w:w="1820" w:type="dxa"/>
            <w:shd w:val="clear" w:color="auto" w:fill="538135" w:themeFill="accent6" w:themeFillShade="BF"/>
            <w:tcMar>
              <w:top w:w="80" w:type="dxa"/>
              <w:left w:w="80" w:type="dxa"/>
              <w:bottom w:w="80" w:type="dxa"/>
              <w:right w:w="80" w:type="dxa"/>
            </w:tcMar>
          </w:tcPr>
          <w:p w:rsidR="00277CB3" w:rsidRPr="00196E66" w:rsidRDefault="00277CB3" w:rsidP="00277CB3">
            <w:pPr>
              <w:pStyle w:val="Body"/>
              <w:spacing w:before="60" w:after="60"/>
              <w:ind w:left="181"/>
              <w:rPr>
                <w:color w:val="FFFFFF" w:themeColor="background1"/>
                <w:sz w:val="28"/>
                <w:szCs w:val="28"/>
              </w:rPr>
            </w:pPr>
            <w:r w:rsidRPr="00196E66">
              <w:rPr>
                <w:b/>
                <w:bCs/>
                <w:color w:val="FFFFFF" w:themeColor="background1"/>
                <w:sz w:val="28"/>
                <w:szCs w:val="28"/>
              </w:rPr>
              <w:t>TIME</w:t>
            </w:r>
          </w:p>
        </w:tc>
        <w:tc>
          <w:tcPr>
            <w:tcW w:w="8363" w:type="dxa"/>
            <w:shd w:val="clear" w:color="auto" w:fill="538135" w:themeFill="accent6" w:themeFillShade="BF"/>
            <w:tcMar>
              <w:top w:w="80" w:type="dxa"/>
              <w:left w:w="80" w:type="dxa"/>
              <w:bottom w:w="80" w:type="dxa"/>
              <w:right w:w="80" w:type="dxa"/>
            </w:tcMar>
          </w:tcPr>
          <w:p w:rsidR="00277CB3" w:rsidRPr="00196E66" w:rsidRDefault="00277CB3" w:rsidP="00277CB3">
            <w:pPr>
              <w:pStyle w:val="Body"/>
              <w:spacing w:before="60" w:after="60"/>
              <w:ind w:left="204"/>
              <w:rPr>
                <w:color w:val="FFFFFF" w:themeColor="background1"/>
                <w:sz w:val="28"/>
                <w:szCs w:val="28"/>
              </w:rPr>
            </w:pPr>
            <w:r w:rsidRPr="00196E66">
              <w:rPr>
                <w:b/>
                <w:bCs/>
                <w:color w:val="FFFFFF" w:themeColor="background1"/>
                <w:sz w:val="28"/>
                <w:szCs w:val="28"/>
              </w:rPr>
              <w:t>ACTIVITY</w:t>
            </w:r>
          </w:p>
        </w:tc>
      </w:tr>
      <w:tr w:rsidR="00277CB3" w:rsidRPr="00954B8C" w:rsidTr="00277CB3">
        <w:trPr>
          <w:trHeight w:val="250"/>
        </w:trPr>
        <w:tc>
          <w:tcPr>
            <w:tcW w:w="1820"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181"/>
              <w:rPr>
                <w:b/>
                <w:i/>
                <w:sz w:val="24"/>
                <w:szCs w:val="24"/>
              </w:rPr>
            </w:pPr>
            <w:r w:rsidRPr="00196E66">
              <w:rPr>
                <w:b/>
                <w:i/>
                <w:sz w:val="24"/>
                <w:szCs w:val="24"/>
              </w:rPr>
              <w:t>9.15-9.30</w:t>
            </w:r>
          </w:p>
        </w:tc>
        <w:tc>
          <w:tcPr>
            <w:tcW w:w="8363"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204"/>
              <w:rPr>
                <w:b/>
                <w:i/>
                <w:sz w:val="24"/>
                <w:szCs w:val="24"/>
              </w:rPr>
            </w:pPr>
            <w:r w:rsidRPr="00196E66">
              <w:rPr>
                <w:b/>
                <w:i/>
                <w:sz w:val="24"/>
                <w:szCs w:val="24"/>
              </w:rPr>
              <w:t>Arrival and coffee</w:t>
            </w:r>
          </w:p>
        </w:tc>
      </w:tr>
      <w:tr w:rsidR="00277CB3" w:rsidRPr="00954B8C" w:rsidTr="00277CB3">
        <w:trPr>
          <w:trHeight w:val="367"/>
        </w:trPr>
        <w:tc>
          <w:tcPr>
            <w:tcW w:w="1820"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181"/>
              <w:rPr>
                <w:sz w:val="24"/>
                <w:szCs w:val="24"/>
              </w:rPr>
            </w:pPr>
            <w:r w:rsidRPr="00196E66">
              <w:rPr>
                <w:sz w:val="24"/>
                <w:szCs w:val="24"/>
              </w:rPr>
              <w:t>9:30-10:00</w:t>
            </w:r>
          </w:p>
        </w:tc>
        <w:tc>
          <w:tcPr>
            <w:tcW w:w="8363"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204"/>
              <w:rPr>
                <w:sz w:val="24"/>
                <w:szCs w:val="24"/>
              </w:rPr>
            </w:pPr>
            <w:r w:rsidRPr="00196E66">
              <w:rPr>
                <w:sz w:val="24"/>
                <w:szCs w:val="24"/>
              </w:rPr>
              <w:t>Introduction to the CIE-MAP project and the need for policy in this area</w:t>
            </w:r>
          </w:p>
        </w:tc>
      </w:tr>
      <w:tr w:rsidR="00277CB3" w:rsidRPr="00954B8C" w:rsidTr="00277CB3">
        <w:trPr>
          <w:trHeight w:val="389"/>
        </w:trPr>
        <w:tc>
          <w:tcPr>
            <w:tcW w:w="1820"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181"/>
              <w:rPr>
                <w:sz w:val="24"/>
                <w:szCs w:val="24"/>
              </w:rPr>
            </w:pPr>
            <w:r w:rsidRPr="00196E66">
              <w:rPr>
                <w:sz w:val="24"/>
                <w:szCs w:val="24"/>
              </w:rPr>
              <w:t>10:00-10:45</w:t>
            </w:r>
          </w:p>
        </w:tc>
        <w:tc>
          <w:tcPr>
            <w:tcW w:w="8363"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204"/>
              <w:rPr>
                <w:sz w:val="24"/>
                <w:szCs w:val="24"/>
              </w:rPr>
            </w:pPr>
            <w:r w:rsidRPr="00196E66">
              <w:rPr>
                <w:sz w:val="24"/>
                <w:szCs w:val="24"/>
              </w:rPr>
              <w:t>Reviewing policies identified by the CIE-MAP team and adding any missing</w:t>
            </w:r>
          </w:p>
        </w:tc>
      </w:tr>
      <w:tr w:rsidR="00277CB3" w:rsidRPr="00954B8C" w:rsidTr="00277CB3">
        <w:trPr>
          <w:trHeight w:val="250"/>
        </w:trPr>
        <w:tc>
          <w:tcPr>
            <w:tcW w:w="1820"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181"/>
              <w:rPr>
                <w:sz w:val="24"/>
                <w:szCs w:val="24"/>
              </w:rPr>
            </w:pPr>
            <w:r w:rsidRPr="00196E66">
              <w:rPr>
                <w:sz w:val="24"/>
                <w:szCs w:val="24"/>
              </w:rPr>
              <w:t>10:45-11:00</w:t>
            </w:r>
          </w:p>
        </w:tc>
        <w:tc>
          <w:tcPr>
            <w:tcW w:w="8363"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204"/>
              <w:rPr>
                <w:sz w:val="24"/>
                <w:szCs w:val="24"/>
              </w:rPr>
            </w:pPr>
            <w:r w:rsidRPr="00196E66">
              <w:rPr>
                <w:sz w:val="24"/>
                <w:szCs w:val="24"/>
              </w:rPr>
              <w:t>Feedback from breakout groups</w:t>
            </w:r>
          </w:p>
        </w:tc>
      </w:tr>
      <w:tr w:rsidR="00277CB3" w:rsidRPr="00954B8C" w:rsidTr="00277CB3">
        <w:trPr>
          <w:trHeight w:val="277"/>
        </w:trPr>
        <w:tc>
          <w:tcPr>
            <w:tcW w:w="1820"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181"/>
              <w:rPr>
                <w:i/>
                <w:sz w:val="24"/>
                <w:szCs w:val="24"/>
              </w:rPr>
            </w:pPr>
            <w:r w:rsidRPr="00196E66">
              <w:rPr>
                <w:b/>
                <w:bCs/>
                <w:i/>
                <w:sz w:val="24"/>
                <w:szCs w:val="24"/>
              </w:rPr>
              <w:t>11:00-11:15</w:t>
            </w:r>
          </w:p>
        </w:tc>
        <w:tc>
          <w:tcPr>
            <w:tcW w:w="8363" w:type="dxa"/>
            <w:shd w:val="clear" w:color="auto" w:fill="auto"/>
            <w:tcMar>
              <w:top w:w="80" w:type="dxa"/>
              <w:left w:w="80" w:type="dxa"/>
              <w:bottom w:w="80" w:type="dxa"/>
              <w:right w:w="80" w:type="dxa"/>
            </w:tcMar>
          </w:tcPr>
          <w:p w:rsidR="00277CB3" w:rsidRPr="00196E66" w:rsidRDefault="00277CB3" w:rsidP="00277CB3">
            <w:pPr>
              <w:spacing w:before="60" w:after="60" w:line="276" w:lineRule="auto"/>
              <w:ind w:left="204"/>
              <w:rPr>
                <w:rFonts w:ascii="Calibri" w:hAnsi="Calibri"/>
                <w:i/>
              </w:rPr>
            </w:pPr>
            <w:r w:rsidRPr="00196E66">
              <w:rPr>
                <w:rFonts w:ascii="Calibri" w:eastAsia="Calibri" w:hAnsi="Calibri" w:cs="Calibri"/>
                <w:b/>
                <w:bCs/>
                <w:i/>
                <w:color w:val="000000"/>
                <w:u w:color="000000"/>
              </w:rPr>
              <w:t>Coffee</w:t>
            </w:r>
          </w:p>
        </w:tc>
      </w:tr>
      <w:tr w:rsidR="00277CB3" w:rsidRPr="00954B8C" w:rsidTr="00277CB3">
        <w:trPr>
          <w:trHeight w:val="612"/>
        </w:trPr>
        <w:tc>
          <w:tcPr>
            <w:tcW w:w="1820"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181"/>
              <w:rPr>
                <w:sz w:val="24"/>
                <w:szCs w:val="24"/>
              </w:rPr>
            </w:pPr>
            <w:r w:rsidRPr="00196E66">
              <w:rPr>
                <w:sz w:val="24"/>
                <w:szCs w:val="24"/>
              </w:rPr>
              <w:t>11:15 – 11:30</w:t>
            </w:r>
          </w:p>
        </w:tc>
        <w:tc>
          <w:tcPr>
            <w:tcW w:w="8363"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204"/>
              <w:rPr>
                <w:sz w:val="24"/>
                <w:szCs w:val="24"/>
              </w:rPr>
            </w:pPr>
            <w:r w:rsidRPr="00196E66">
              <w:rPr>
                <w:sz w:val="24"/>
                <w:szCs w:val="24"/>
              </w:rPr>
              <w:t>Introducing a more flexible, dynamic approach to policy to help avoid future policy dead ends</w:t>
            </w:r>
          </w:p>
        </w:tc>
      </w:tr>
      <w:tr w:rsidR="00277CB3" w:rsidRPr="00954B8C" w:rsidTr="00277CB3">
        <w:trPr>
          <w:trHeight w:val="734"/>
        </w:trPr>
        <w:tc>
          <w:tcPr>
            <w:tcW w:w="1820"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181"/>
              <w:rPr>
                <w:sz w:val="24"/>
                <w:szCs w:val="24"/>
              </w:rPr>
            </w:pPr>
            <w:r w:rsidRPr="00196E66">
              <w:rPr>
                <w:sz w:val="24"/>
                <w:szCs w:val="24"/>
              </w:rPr>
              <w:t>11:30-12:15</w:t>
            </w:r>
          </w:p>
        </w:tc>
        <w:tc>
          <w:tcPr>
            <w:tcW w:w="8363"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204"/>
              <w:rPr>
                <w:sz w:val="24"/>
                <w:szCs w:val="24"/>
              </w:rPr>
            </w:pPr>
            <w:r w:rsidRPr="00196E66">
              <w:rPr>
                <w:sz w:val="24"/>
                <w:szCs w:val="24"/>
              </w:rPr>
              <w:t>Sequencing policies and thinking about implementation and adaptability to changing circumstances</w:t>
            </w:r>
          </w:p>
        </w:tc>
      </w:tr>
      <w:tr w:rsidR="00277CB3" w:rsidRPr="00954B8C" w:rsidTr="00277CB3">
        <w:trPr>
          <w:trHeight w:val="250"/>
        </w:trPr>
        <w:tc>
          <w:tcPr>
            <w:tcW w:w="1820"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181"/>
              <w:rPr>
                <w:sz w:val="24"/>
                <w:szCs w:val="24"/>
              </w:rPr>
            </w:pPr>
            <w:r w:rsidRPr="00196E66">
              <w:rPr>
                <w:sz w:val="24"/>
                <w:szCs w:val="24"/>
              </w:rPr>
              <w:t>12:15-12:30</w:t>
            </w:r>
          </w:p>
        </w:tc>
        <w:tc>
          <w:tcPr>
            <w:tcW w:w="8363"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204"/>
              <w:rPr>
                <w:sz w:val="24"/>
                <w:szCs w:val="24"/>
              </w:rPr>
            </w:pPr>
            <w:r w:rsidRPr="00196E66">
              <w:rPr>
                <w:sz w:val="24"/>
                <w:szCs w:val="24"/>
              </w:rPr>
              <w:t>Feedback from breakout groups</w:t>
            </w:r>
          </w:p>
        </w:tc>
      </w:tr>
      <w:tr w:rsidR="00277CB3" w:rsidRPr="00954B8C" w:rsidTr="00277CB3">
        <w:trPr>
          <w:trHeight w:val="250"/>
        </w:trPr>
        <w:tc>
          <w:tcPr>
            <w:tcW w:w="1820"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181"/>
              <w:rPr>
                <w:sz w:val="24"/>
                <w:szCs w:val="24"/>
              </w:rPr>
            </w:pPr>
            <w:r w:rsidRPr="00196E66">
              <w:rPr>
                <w:sz w:val="24"/>
                <w:szCs w:val="24"/>
              </w:rPr>
              <w:t>12:30-12:45</w:t>
            </w:r>
          </w:p>
        </w:tc>
        <w:tc>
          <w:tcPr>
            <w:tcW w:w="8363"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204"/>
              <w:rPr>
                <w:sz w:val="24"/>
                <w:szCs w:val="24"/>
              </w:rPr>
            </w:pPr>
            <w:r w:rsidRPr="00196E66">
              <w:rPr>
                <w:sz w:val="24"/>
                <w:szCs w:val="24"/>
              </w:rPr>
              <w:t>Wrap up and how should we engage you in next steps?</w:t>
            </w:r>
          </w:p>
        </w:tc>
      </w:tr>
      <w:tr w:rsidR="00277CB3" w:rsidRPr="00954B8C" w:rsidTr="00277CB3">
        <w:trPr>
          <w:trHeight w:val="250"/>
        </w:trPr>
        <w:tc>
          <w:tcPr>
            <w:tcW w:w="1820" w:type="dxa"/>
            <w:shd w:val="clear" w:color="auto" w:fill="auto"/>
            <w:tcMar>
              <w:top w:w="80" w:type="dxa"/>
              <w:left w:w="80" w:type="dxa"/>
              <w:bottom w:w="80" w:type="dxa"/>
              <w:right w:w="80" w:type="dxa"/>
            </w:tcMar>
          </w:tcPr>
          <w:p w:rsidR="00277CB3" w:rsidRPr="00196E66" w:rsidRDefault="00277CB3" w:rsidP="00277CB3">
            <w:pPr>
              <w:pStyle w:val="Body"/>
              <w:spacing w:before="60" w:after="60"/>
              <w:ind w:left="181"/>
              <w:rPr>
                <w:i/>
                <w:sz w:val="24"/>
                <w:szCs w:val="24"/>
              </w:rPr>
            </w:pPr>
            <w:r w:rsidRPr="00196E66">
              <w:rPr>
                <w:b/>
                <w:bCs/>
                <w:i/>
                <w:sz w:val="24"/>
                <w:szCs w:val="24"/>
              </w:rPr>
              <w:t>12:45</w:t>
            </w:r>
          </w:p>
        </w:tc>
        <w:tc>
          <w:tcPr>
            <w:tcW w:w="8363" w:type="dxa"/>
            <w:shd w:val="clear" w:color="auto" w:fill="auto"/>
            <w:tcMar>
              <w:top w:w="80" w:type="dxa"/>
              <w:left w:w="80" w:type="dxa"/>
              <w:bottom w:w="80" w:type="dxa"/>
              <w:right w:w="80" w:type="dxa"/>
            </w:tcMar>
          </w:tcPr>
          <w:p w:rsidR="00277CB3" w:rsidRPr="00196E66" w:rsidRDefault="00277CB3" w:rsidP="00277CB3">
            <w:pPr>
              <w:spacing w:before="60" w:after="60" w:line="276" w:lineRule="auto"/>
              <w:ind w:left="204"/>
              <w:rPr>
                <w:rFonts w:ascii="Calibri" w:hAnsi="Calibri"/>
                <w:i/>
              </w:rPr>
            </w:pPr>
            <w:r w:rsidRPr="00196E66">
              <w:rPr>
                <w:rFonts w:ascii="Calibri" w:eastAsia="Calibri" w:hAnsi="Calibri" w:cs="Calibri"/>
                <w:b/>
                <w:bCs/>
                <w:i/>
                <w:color w:val="000000"/>
                <w:u w:color="000000"/>
              </w:rPr>
              <w:t>Lunch</w:t>
            </w:r>
          </w:p>
        </w:tc>
      </w:tr>
    </w:tbl>
    <w:p w:rsidR="00196E66" w:rsidRPr="00196E66" w:rsidRDefault="00CD3D7A" w:rsidP="00121AD0">
      <w:pPr>
        <w:spacing w:after="240"/>
        <w:ind w:left="-567" w:right="-471"/>
        <w:rPr>
          <w:rFonts w:ascii="Calibri" w:hAnsi="Calibri"/>
        </w:rPr>
      </w:pPr>
      <w:r w:rsidRPr="00277CB3">
        <w:rPr>
          <w:rFonts w:ascii="Calibri" w:hAnsi="Calibri"/>
          <w:noProof/>
          <w:lang w:val="en-GB" w:eastAsia="en-GB"/>
        </w:rPr>
        <w:drawing>
          <wp:anchor distT="0" distB="0" distL="114300" distR="114300" simplePos="0" relativeHeight="251661312" behindDoc="0" locked="0" layoutInCell="1" allowOverlap="1" wp14:anchorId="71628FF9" wp14:editId="6D3A33D9">
            <wp:simplePos x="0" y="0"/>
            <wp:positionH relativeFrom="column">
              <wp:posOffset>4495800</wp:posOffset>
            </wp:positionH>
            <wp:positionV relativeFrom="paragraph">
              <wp:posOffset>6475730</wp:posOffset>
            </wp:positionV>
            <wp:extent cx="1600200" cy="455295"/>
            <wp:effectExtent l="0" t="0" r="0" b="1905"/>
            <wp:wrapNone/>
            <wp:docPr id="4" name="Picture 9"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eedsUni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4552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77CB3">
        <w:rPr>
          <w:rFonts w:ascii="Calibri" w:hAnsi="Calibri"/>
          <w:noProof/>
          <w:lang w:val="en-GB" w:eastAsia="en-GB"/>
        </w:rPr>
        <w:drawing>
          <wp:anchor distT="0" distB="0" distL="114300" distR="114300" simplePos="0" relativeHeight="251664384" behindDoc="0" locked="0" layoutInCell="1" allowOverlap="1" wp14:anchorId="24A35820" wp14:editId="29787C0C">
            <wp:simplePos x="0" y="0"/>
            <wp:positionH relativeFrom="column">
              <wp:posOffset>1952625</wp:posOffset>
            </wp:positionH>
            <wp:positionV relativeFrom="paragraph">
              <wp:posOffset>6463665</wp:posOffset>
            </wp:positionV>
            <wp:extent cx="619125" cy="527050"/>
            <wp:effectExtent l="0" t="0" r="9525" b="6350"/>
            <wp:wrapNone/>
            <wp:docPr id="8" name="Picture 7" descr="cardiffunilogo.jpg"/>
            <wp:cNvGraphicFramePr/>
            <a:graphic xmlns:a="http://schemas.openxmlformats.org/drawingml/2006/main">
              <a:graphicData uri="http://schemas.openxmlformats.org/drawingml/2006/picture">
                <pic:pic xmlns:pic="http://schemas.openxmlformats.org/drawingml/2006/picture">
                  <pic:nvPicPr>
                    <pic:cNvPr id="8" name="Picture 7" descr="cardiffuni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5270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77CB3">
        <w:rPr>
          <w:rFonts w:ascii="Calibri" w:hAnsi="Calibri"/>
          <w:noProof/>
          <w:lang w:val="en-GB" w:eastAsia="en-GB"/>
        </w:rPr>
        <w:drawing>
          <wp:anchor distT="0" distB="0" distL="114300" distR="114300" simplePos="0" relativeHeight="251663360" behindDoc="0" locked="0" layoutInCell="1" allowOverlap="1" wp14:anchorId="0E3BA996" wp14:editId="21E58F13">
            <wp:simplePos x="0" y="0"/>
            <wp:positionH relativeFrom="column">
              <wp:posOffset>2857500</wp:posOffset>
            </wp:positionH>
            <wp:positionV relativeFrom="paragraph">
              <wp:posOffset>6463030</wp:posOffset>
            </wp:positionV>
            <wp:extent cx="1386205" cy="567055"/>
            <wp:effectExtent l="0" t="0" r="4445" b="4445"/>
            <wp:wrapNone/>
            <wp:docPr id="7" name="Picture 6" descr="bat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ath_black.png"/>
                    <pic:cNvPicPr>
                      <a:picLocks noChangeAspect="1"/>
                    </pic:cNvPicPr>
                  </pic:nvPicPr>
                  <pic:blipFill>
                    <a:blip r:embed="rId8" cstate="print"/>
                    <a:stretch>
                      <a:fillRect/>
                    </a:stretch>
                  </pic:blipFill>
                  <pic:spPr>
                    <a:xfrm>
                      <a:off x="0" y="0"/>
                      <a:ext cx="1386205" cy="567055"/>
                    </a:xfrm>
                    <a:prstGeom prst="rect">
                      <a:avLst/>
                    </a:prstGeom>
                  </pic:spPr>
                </pic:pic>
              </a:graphicData>
            </a:graphic>
            <wp14:sizeRelH relativeFrom="margin">
              <wp14:pctWidth>0</wp14:pctWidth>
            </wp14:sizeRelH>
            <wp14:sizeRelV relativeFrom="margin">
              <wp14:pctHeight>0</wp14:pctHeight>
            </wp14:sizeRelV>
          </wp:anchor>
        </w:drawing>
      </w:r>
      <w:r w:rsidRPr="00277CB3">
        <w:rPr>
          <w:rFonts w:ascii="Calibri" w:hAnsi="Calibri"/>
          <w:noProof/>
          <w:lang w:val="en-GB" w:eastAsia="en-GB"/>
        </w:rPr>
        <w:drawing>
          <wp:anchor distT="0" distB="0" distL="114300" distR="114300" simplePos="0" relativeHeight="251662336" behindDoc="0" locked="0" layoutInCell="1" allowOverlap="1" wp14:anchorId="7EAE8C7D" wp14:editId="09508748">
            <wp:simplePos x="0" y="0"/>
            <wp:positionH relativeFrom="column">
              <wp:posOffset>-370840</wp:posOffset>
            </wp:positionH>
            <wp:positionV relativeFrom="paragraph">
              <wp:posOffset>6458585</wp:posOffset>
            </wp:positionV>
            <wp:extent cx="2038350" cy="470535"/>
            <wp:effectExtent l="0" t="0" r="0" b="5715"/>
            <wp:wrapNone/>
            <wp:docPr id="6" name="Picture 5" descr="NTU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TU_black.png"/>
                    <pic:cNvPicPr>
                      <a:picLocks noChangeAspect="1"/>
                    </pic:cNvPicPr>
                  </pic:nvPicPr>
                  <pic:blipFill>
                    <a:blip r:embed="rId9" cstate="print"/>
                    <a:stretch>
                      <a:fillRect/>
                    </a:stretch>
                  </pic:blipFill>
                  <pic:spPr>
                    <a:xfrm>
                      <a:off x="0" y="0"/>
                      <a:ext cx="2038350" cy="470535"/>
                    </a:xfrm>
                    <a:prstGeom prst="rect">
                      <a:avLst/>
                    </a:prstGeom>
                  </pic:spPr>
                </pic:pic>
              </a:graphicData>
            </a:graphic>
            <wp14:sizeRelH relativeFrom="margin">
              <wp14:pctWidth>0</wp14:pctWidth>
            </wp14:sizeRelH>
            <wp14:sizeRelV relativeFrom="margin">
              <wp14:pctHeight>0</wp14:pctHeight>
            </wp14:sizeRelV>
          </wp:anchor>
        </w:drawing>
      </w:r>
      <w:r w:rsidR="00196E66" w:rsidRPr="00196E66">
        <w:rPr>
          <w:rFonts w:ascii="Calibri" w:hAnsi="Calibri"/>
        </w:rPr>
        <w:t xml:space="preserve">This workshop, run as part of the Centre for Industrial Energy, Materials and Products, aims to identify new policies to tackle embodied emissions across the construction sector. We will explore how best to address the void left by zero carbon homes policy cancellation and discuss new policy options as part of more adaptive pathways. To this end, we will explore new approaches to policy development that consider the sequencing, feasibility and flexibility of policies to improve resilience to political change and avoid future policy dead-ends. </w:t>
      </w:r>
      <w:bookmarkStart w:id="0" w:name="_GoBack"/>
      <w:bookmarkEnd w:id="0"/>
    </w:p>
    <w:sectPr w:rsidR="00196E66" w:rsidRPr="00196E66" w:rsidSect="00277CB3">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66"/>
    <w:rsid w:val="00121AD0"/>
    <w:rsid w:val="00196E66"/>
    <w:rsid w:val="00277CB3"/>
    <w:rsid w:val="00302B73"/>
    <w:rsid w:val="00BD35C0"/>
    <w:rsid w:val="00CD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6E6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6E6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CD3D7A"/>
    <w:rPr>
      <w:rFonts w:ascii="Tahoma" w:hAnsi="Tahoma" w:cs="Tahoma"/>
      <w:sz w:val="16"/>
      <w:szCs w:val="16"/>
    </w:rPr>
  </w:style>
  <w:style w:type="character" w:customStyle="1" w:styleId="BalloonTextChar">
    <w:name w:val="Balloon Text Char"/>
    <w:basedOn w:val="DefaultParagraphFont"/>
    <w:link w:val="BalloonText"/>
    <w:uiPriority w:val="99"/>
    <w:semiHidden/>
    <w:rsid w:val="00CD3D7A"/>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6E6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6E6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CD3D7A"/>
    <w:rPr>
      <w:rFonts w:ascii="Tahoma" w:hAnsi="Tahoma" w:cs="Tahoma"/>
      <w:sz w:val="16"/>
      <w:szCs w:val="16"/>
    </w:rPr>
  </w:style>
  <w:style w:type="character" w:customStyle="1" w:styleId="BalloonTextChar">
    <w:name w:val="Balloon Text Char"/>
    <w:basedOn w:val="DefaultParagraphFont"/>
    <w:link w:val="BalloonText"/>
    <w:uiPriority w:val="99"/>
    <w:semiHidden/>
    <w:rsid w:val="00CD3D7A"/>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Roelich [Staff]</dc:creator>
  <cp:keywords/>
  <dc:description/>
  <cp:lastModifiedBy>Robin Styles</cp:lastModifiedBy>
  <cp:revision>4</cp:revision>
  <cp:lastPrinted>2015-09-10T13:21:00Z</cp:lastPrinted>
  <dcterms:created xsi:type="dcterms:W3CDTF">2015-08-20T10:20:00Z</dcterms:created>
  <dcterms:modified xsi:type="dcterms:W3CDTF">2015-09-10T13:26:00Z</dcterms:modified>
</cp:coreProperties>
</file>